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2E92F" w14:textId="465BAE1B" w:rsidR="0081036B" w:rsidRDefault="00C2047E" w:rsidP="00CB6E4C">
      <w:pPr>
        <w:spacing w:before="120" w:after="120" w:line="288" w:lineRule="auto"/>
        <w:jc w:val="both"/>
        <w:rPr>
          <w:b/>
          <w:bCs/>
          <w:sz w:val="28"/>
          <w:szCs w:val="28"/>
        </w:rPr>
      </w:pPr>
      <w:r w:rsidRPr="00B444A8">
        <w:rPr>
          <w:b/>
          <w:bCs/>
          <w:sz w:val="28"/>
          <w:szCs w:val="28"/>
        </w:rPr>
        <w:t xml:space="preserve">Gotówka </w:t>
      </w:r>
      <w:r w:rsidR="00D34C7A">
        <w:rPr>
          <w:b/>
          <w:bCs/>
          <w:sz w:val="28"/>
          <w:szCs w:val="28"/>
        </w:rPr>
        <w:t xml:space="preserve">od </w:t>
      </w:r>
      <w:r w:rsidR="00394389">
        <w:rPr>
          <w:b/>
          <w:bCs/>
          <w:sz w:val="28"/>
          <w:szCs w:val="28"/>
        </w:rPr>
        <w:t>Narodowego Funduszu Gwarancyjnego</w:t>
      </w:r>
      <w:r w:rsidR="00A07635">
        <w:rPr>
          <w:b/>
          <w:bCs/>
          <w:sz w:val="28"/>
          <w:szCs w:val="28"/>
        </w:rPr>
        <w:t xml:space="preserve"> pomoże firmom zachować płynność finansową</w:t>
      </w:r>
    </w:p>
    <w:p w14:paraId="79B74771" w14:textId="46330E4F" w:rsidR="00394389" w:rsidRDefault="00394389" w:rsidP="00CB6E4C">
      <w:pPr>
        <w:spacing w:before="120" w:after="120" w:line="288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Martin Kaczmarski wprowadza n</w:t>
      </w:r>
      <w:r w:rsidRPr="005159CA">
        <w:rPr>
          <w:i/>
          <w:iCs/>
          <w:sz w:val="24"/>
          <w:szCs w:val="24"/>
        </w:rPr>
        <w:t xml:space="preserve">ową usługę dla przedsiębiorstw </w:t>
      </w:r>
    </w:p>
    <w:p w14:paraId="1031711D" w14:textId="77777777" w:rsidR="005159CA" w:rsidRPr="005159CA" w:rsidRDefault="005159CA" w:rsidP="00CB6E4C">
      <w:pPr>
        <w:spacing w:before="120" w:after="120" w:line="288" w:lineRule="auto"/>
        <w:jc w:val="both"/>
        <w:rPr>
          <w:i/>
          <w:iCs/>
          <w:sz w:val="24"/>
          <w:szCs w:val="24"/>
        </w:rPr>
      </w:pPr>
    </w:p>
    <w:p w14:paraId="13652599" w14:textId="77777777" w:rsidR="00CB6E4C" w:rsidRDefault="00F36E87" w:rsidP="00CB6E4C">
      <w:pPr>
        <w:pStyle w:val="Akapitzlist"/>
        <w:numPr>
          <w:ilvl w:val="0"/>
          <w:numId w:val="2"/>
        </w:numPr>
        <w:spacing w:before="120" w:after="120" w:line="288" w:lineRule="auto"/>
        <w:ind w:left="714" w:hanging="357"/>
        <w:contextualSpacing w:val="0"/>
        <w:jc w:val="both"/>
        <w:rPr>
          <w:b/>
          <w:bCs/>
        </w:rPr>
      </w:pPr>
      <w:r w:rsidRPr="00CB6E4C">
        <w:rPr>
          <w:b/>
          <w:bCs/>
        </w:rPr>
        <w:t>Blisko 9 na 10</w:t>
      </w:r>
      <w:r w:rsidR="00B444A8" w:rsidRPr="00CB6E4C">
        <w:rPr>
          <w:b/>
          <w:bCs/>
        </w:rPr>
        <w:t xml:space="preserve"> firm z sektora</w:t>
      </w:r>
      <w:r w:rsidR="000F0A23" w:rsidRPr="00CB6E4C">
        <w:rPr>
          <w:b/>
          <w:bCs/>
        </w:rPr>
        <w:t xml:space="preserve"> </w:t>
      </w:r>
      <w:r w:rsidR="00CD4589" w:rsidRPr="00CB6E4C">
        <w:rPr>
          <w:b/>
          <w:bCs/>
        </w:rPr>
        <w:t xml:space="preserve">MŚP </w:t>
      </w:r>
      <w:r w:rsidR="00C2047E" w:rsidRPr="00CB6E4C">
        <w:rPr>
          <w:b/>
          <w:bCs/>
        </w:rPr>
        <w:t>wystawia faktury z odroczonym terminem płatności</w:t>
      </w:r>
      <w:r w:rsidR="006A1624" w:rsidRPr="00CB6E4C">
        <w:rPr>
          <w:b/>
          <w:bCs/>
        </w:rPr>
        <w:t>. W</w:t>
      </w:r>
      <w:r w:rsidR="00CB6E4C" w:rsidRPr="00CB6E4C">
        <w:rPr>
          <w:b/>
          <w:bCs/>
        </w:rPr>
        <w:t> </w:t>
      </w:r>
      <w:r w:rsidR="00C2047E" w:rsidRPr="00CB6E4C">
        <w:rPr>
          <w:b/>
          <w:bCs/>
        </w:rPr>
        <w:t>razie problemów z płynnością finansową coraz częściej sięga</w:t>
      </w:r>
      <w:r w:rsidR="006A1624" w:rsidRPr="00CB6E4C">
        <w:rPr>
          <w:b/>
          <w:bCs/>
        </w:rPr>
        <w:t>ją one</w:t>
      </w:r>
      <w:r w:rsidR="00C2047E" w:rsidRPr="00CB6E4C">
        <w:rPr>
          <w:b/>
          <w:bCs/>
        </w:rPr>
        <w:t xml:space="preserve"> po faktoring.</w:t>
      </w:r>
    </w:p>
    <w:p w14:paraId="6D76E1D7" w14:textId="712429D1" w:rsidR="002B5C49" w:rsidRPr="00CB6E4C" w:rsidRDefault="002B5C49" w:rsidP="00CB6E4C">
      <w:pPr>
        <w:pStyle w:val="Akapitzlist"/>
        <w:numPr>
          <w:ilvl w:val="0"/>
          <w:numId w:val="2"/>
        </w:numPr>
        <w:spacing w:before="120" w:after="120" w:line="288" w:lineRule="auto"/>
        <w:ind w:left="714" w:hanging="357"/>
        <w:contextualSpacing w:val="0"/>
        <w:jc w:val="both"/>
        <w:rPr>
          <w:b/>
          <w:bCs/>
        </w:rPr>
      </w:pPr>
      <w:r w:rsidRPr="00CB6E4C">
        <w:rPr>
          <w:rStyle w:val="ui-provider"/>
          <w:b/>
          <w:bCs/>
        </w:rPr>
        <w:t xml:space="preserve">W 2023 r. </w:t>
      </w:r>
      <w:r w:rsidRPr="00CB6E4C">
        <w:rPr>
          <w:b/>
          <w:bCs/>
        </w:rPr>
        <w:t xml:space="preserve">średnia wartość faktury w </w:t>
      </w:r>
      <w:r w:rsidR="007F213C" w:rsidRPr="00CB6E4C">
        <w:rPr>
          <w:b/>
          <w:bCs/>
        </w:rPr>
        <w:t>f</w:t>
      </w:r>
      <w:r w:rsidRPr="00CB6E4C">
        <w:rPr>
          <w:rStyle w:val="ui-provider"/>
          <w:b/>
          <w:bCs/>
        </w:rPr>
        <w:t>aktoringu wzrosła o ponad 14 proc. (z 7 824 zł do</w:t>
      </w:r>
      <w:r w:rsidR="00B30BC4" w:rsidRPr="00CB6E4C">
        <w:rPr>
          <w:rStyle w:val="ui-provider"/>
          <w:b/>
          <w:bCs/>
        </w:rPr>
        <w:t xml:space="preserve"> </w:t>
      </w:r>
      <w:r w:rsidRPr="00CB6E4C">
        <w:rPr>
          <w:rStyle w:val="ui-provider"/>
          <w:b/>
          <w:bCs/>
        </w:rPr>
        <w:t>8 942 zł rok do roku).</w:t>
      </w:r>
    </w:p>
    <w:p w14:paraId="7BBD2B1B" w14:textId="4445483D" w:rsidR="00926BC9" w:rsidRDefault="000F68B4" w:rsidP="00CB6E4C">
      <w:pPr>
        <w:pStyle w:val="Akapitzlist"/>
        <w:numPr>
          <w:ilvl w:val="0"/>
          <w:numId w:val="2"/>
        </w:numPr>
        <w:spacing w:before="120" w:after="120" w:line="288" w:lineRule="auto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Bez</w:t>
      </w:r>
      <w:r w:rsidR="00C2047E" w:rsidRPr="007649B1">
        <w:rPr>
          <w:b/>
          <w:bCs/>
        </w:rPr>
        <w:t xml:space="preserve"> </w:t>
      </w:r>
      <w:r w:rsidR="00EC5EA9">
        <w:rPr>
          <w:b/>
          <w:bCs/>
        </w:rPr>
        <w:t>faktury</w:t>
      </w:r>
      <w:r w:rsidR="00C2047E" w:rsidRPr="007649B1">
        <w:rPr>
          <w:b/>
          <w:bCs/>
        </w:rPr>
        <w:t xml:space="preserve">, którą </w:t>
      </w:r>
      <w:r w:rsidRPr="007649B1">
        <w:rPr>
          <w:b/>
          <w:bCs/>
        </w:rPr>
        <w:t>mo</w:t>
      </w:r>
      <w:r>
        <w:rPr>
          <w:b/>
          <w:bCs/>
        </w:rPr>
        <w:t>żna</w:t>
      </w:r>
      <w:r w:rsidRPr="007649B1">
        <w:rPr>
          <w:b/>
          <w:bCs/>
        </w:rPr>
        <w:t xml:space="preserve"> </w:t>
      </w:r>
      <w:r w:rsidR="00C2047E" w:rsidRPr="007649B1">
        <w:rPr>
          <w:b/>
          <w:bCs/>
        </w:rPr>
        <w:t>przekazać do faktoringu</w:t>
      </w:r>
      <w:r w:rsidR="00EE6682">
        <w:rPr>
          <w:b/>
          <w:bCs/>
        </w:rPr>
        <w:t>,</w:t>
      </w:r>
      <w:r w:rsidR="006B7217">
        <w:rPr>
          <w:b/>
          <w:bCs/>
        </w:rPr>
        <w:t xml:space="preserve"> </w:t>
      </w:r>
      <w:r>
        <w:rPr>
          <w:b/>
          <w:bCs/>
        </w:rPr>
        <w:t xml:space="preserve">firma </w:t>
      </w:r>
      <w:r w:rsidR="006B7217">
        <w:rPr>
          <w:b/>
          <w:bCs/>
        </w:rPr>
        <w:t xml:space="preserve">może skorzystać z </w:t>
      </w:r>
      <w:r w:rsidR="00023A15">
        <w:rPr>
          <w:b/>
          <w:bCs/>
        </w:rPr>
        <w:t xml:space="preserve">nowej usługi </w:t>
      </w:r>
      <w:r w:rsidR="00394389">
        <w:rPr>
          <w:b/>
          <w:bCs/>
        </w:rPr>
        <w:t>w</w:t>
      </w:r>
      <w:r w:rsidR="00CB6E4C">
        <w:rPr>
          <w:b/>
          <w:bCs/>
        </w:rPr>
        <w:t> </w:t>
      </w:r>
      <w:r w:rsidR="00394389">
        <w:rPr>
          <w:b/>
          <w:bCs/>
        </w:rPr>
        <w:t xml:space="preserve">należącym do Martina Kaczmarskiego </w:t>
      </w:r>
      <w:r w:rsidR="00E44CCA">
        <w:rPr>
          <w:b/>
          <w:bCs/>
        </w:rPr>
        <w:t>NFG</w:t>
      </w:r>
      <w:r w:rsidR="006B7217">
        <w:rPr>
          <w:b/>
          <w:bCs/>
        </w:rPr>
        <w:t>, który oferuje</w:t>
      </w:r>
      <w:r w:rsidR="000C2D0E" w:rsidRPr="007649B1">
        <w:rPr>
          <w:b/>
          <w:bCs/>
        </w:rPr>
        <w:t xml:space="preserve"> </w:t>
      </w:r>
      <w:r w:rsidR="00575687">
        <w:rPr>
          <w:b/>
          <w:bCs/>
        </w:rPr>
        <w:t>G</w:t>
      </w:r>
      <w:r w:rsidR="00C2047E" w:rsidRPr="007649B1">
        <w:rPr>
          <w:b/>
          <w:bCs/>
        </w:rPr>
        <w:t>otówk</w:t>
      </w:r>
      <w:r w:rsidR="006B7217">
        <w:rPr>
          <w:b/>
          <w:bCs/>
        </w:rPr>
        <w:t>ę</w:t>
      </w:r>
      <w:r w:rsidR="00C2047E" w:rsidRPr="007649B1">
        <w:rPr>
          <w:b/>
          <w:bCs/>
        </w:rPr>
        <w:t xml:space="preserve"> na wydatki firmowe. </w:t>
      </w:r>
    </w:p>
    <w:p w14:paraId="2B153344" w14:textId="7CB3F056" w:rsidR="00E846C7" w:rsidRDefault="000D384B" w:rsidP="00CB6E4C">
      <w:pPr>
        <w:pStyle w:val="Akapitzlist"/>
        <w:numPr>
          <w:ilvl w:val="0"/>
          <w:numId w:val="2"/>
        </w:numPr>
        <w:spacing w:before="120" w:after="120" w:line="288" w:lineRule="auto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O</w:t>
      </w:r>
      <w:r w:rsidRPr="007649B1">
        <w:rPr>
          <w:b/>
          <w:bCs/>
        </w:rPr>
        <w:t xml:space="preserve">soba prowadząca </w:t>
      </w:r>
      <w:r>
        <w:rPr>
          <w:b/>
          <w:bCs/>
        </w:rPr>
        <w:t>JDG</w:t>
      </w:r>
      <w:r w:rsidR="00023A15">
        <w:rPr>
          <w:b/>
          <w:bCs/>
        </w:rPr>
        <w:t xml:space="preserve"> </w:t>
      </w:r>
      <w:r w:rsidRPr="007649B1">
        <w:rPr>
          <w:b/>
          <w:bCs/>
        </w:rPr>
        <w:t xml:space="preserve">w ramach przyznanego limitu </w:t>
      </w:r>
      <w:r w:rsidR="00023A15">
        <w:rPr>
          <w:b/>
          <w:bCs/>
        </w:rPr>
        <w:t xml:space="preserve">może </w:t>
      </w:r>
      <w:r w:rsidRPr="007649B1">
        <w:rPr>
          <w:b/>
          <w:bCs/>
        </w:rPr>
        <w:t>uzyskać do 10 tys. zł finansowania w prostym procesie online.</w:t>
      </w:r>
    </w:p>
    <w:p w14:paraId="6A9183CE" w14:textId="77777777" w:rsidR="005159CA" w:rsidRPr="005159CA" w:rsidRDefault="005159CA" w:rsidP="00CB6E4C">
      <w:pPr>
        <w:pStyle w:val="Akapitzlist"/>
        <w:spacing w:before="120" w:after="120" w:line="288" w:lineRule="auto"/>
        <w:ind w:left="714"/>
        <w:contextualSpacing w:val="0"/>
        <w:jc w:val="both"/>
        <w:rPr>
          <w:b/>
          <w:bCs/>
        </w:rPr>
      </w:pPr>
    </w:p>
    <w:p w14:paraId="6CF8B2B3" w14:textId="77777777" w:rsidR="00394389" w:rsidRDefault="00394389" w:rsidP="00CB6E4C">
      <w:pPr>
        <w:spacing w:before="120" w:after="120" w:line="288" w:lineRule="auto"/>
        <w:jc w:val="both"/>
      </w:pPr>
      <w:r w:rsidRPr="008D2EB3">
        <w:rPr>
          <w:rStyle w:val="ui-provider"/>
          <w:i/>
          <w:iCs/>
        </w:rPr>
        <w:t xml:space="preserve">– </w:t>
      </w:r>
      <w:r w:rsidRPr="008D2EB3">
        <w:rPr>
          <w:i/>
          <w:iCs/>
        </w:rPr>
        <w:t>Od lat współpracujemy z firmami z sektora MŚP i wiemy, z jakimi wyzwaniami w dostępie do finansowania borykają się na co dzień. Gotówka na wydatki firmowe ma ułatwić codzienne prowadzenie biznesu najlepszym, najbardziej wiarygodnym firmom poprzez udostępnienie im rozwiązania poprawiającego ich płynność finansową</w:t>
      </w:r>
      <w:r>
        <w:rPr>
          <w:i/>
          <w:iCs/>
        </w:rPr>
        <w:t xml:space="preserve"> w sytuacji</w:t>
      </w:r>
      <w:r w:rsidRPr="008D2EB3">
        <w:rPr>
          <w:i/>
          <w:iCs/>
        </w:rPr>
        <w:t xml:space="preserve">, </w:t>
      </w:r>
      <w:r>
        <w:rPr>
          <w:i/>
          <w:iCs/>
        </w:rPr>
        <w:t>gdy tego</w:t>
      </w:r>
      <w:r w:rsidRPr="008D2EB3">
        <w:rPr>
          <w:i/>
          <w:iCs/>
        </w:rPr>
        <w:t xml:space="preserve"> najbardziej potrzebują</w:t>
      </w:r>
      <w:r>
        <w:t xml:space="preserve"> – mówi Martin Kaczmarski, prezes zarządu Kaczmarski </w:t>
      </w:r>
      <w:proofErr w:type="spellStart"/>
      <w:r>
        <w:t>Group</w:t>
      </w:r>
      <w:proofErr w:type="spellEnd"/>
      <w:r>
        <w:t>, której częścią jest NFG.</w:t>
      </w:r>
    </w:p>
    <w:p w14:paraId="48868392" w14:textId="300C0B80" w:rsidR="006772A4" w:rsidRDefault="00D90A6E" w:rsidP="00CB6E4C">
      <w:pPr>
        <w:spacing w:before="120" w:after="120" w:line="288" w:lineRule="auto"/>
        <w:jc w:val="both"/>
        <w:rPr>
          <w:rStyle w:val="ui-provider"/>
        </w:rPr>
      </w:pPr>
      <w:r>
        <w:t xml:space="preserve">Skalę zapotrzebowania </w:t>
      </w:r>
      <w:r w:rsidR="000C024C">
        <w:t>firm</w:t>
      </w:r>
      <w:r>
        <w:t xml:space="preserve"> na nowoczesne formy finansowania biznesu </w:t>
      </w:r>
      <w:r w:rsidR="00190A70">
        <w:t>widać w danych rynkowych</w:t>
      </w:r>
      <w:r>
        <w:t xml:space="preserve">. </w:t>
      </w:r>
      <w:r>
        <w:rPr>
          <w:rStyle w:val="ui-provider"/>
        </w:rPr>
        <w:t>Z</w:t>
      </w:r>
      <w:r w:rsidR="00CB6E4C">
        <w:rPr>
          <w:rStyle w:val="ui-provider"/>
        </w:rPr>
        <w:t> </w:t>
      </w:r>
      <w:r w:rsidR="006772A4">
        <w:rPr>
          <w:rStyle w:val="ui-provider"/>
        </w:rPr>
        <w:t xml:space="preserve">ostatniego </w:t>
      </w:r>
      <w:r>
        <w:rPr>
          <w:rStyle w:val="ui-provider"/>
        </w:rPr>
        <w:t xml:space="preserve">badania </w:t>
      </w:r>
      <w:r w:rsidR="00BF588F">
        <w:rPr>
          <w:rStyle w:val="ui-provider"/>
        </w:rPr>
        <w:t xml:space="preserve">GUS obejmującego </w:t>
      </w:r>
      <w:r w:rsidR="006772A4">
        <w:rPr>
          <w:rStyle w:val="ui-provider"/>
        </w:rPr>
        <w:t>działalnoś</w:t>
      </w:r>
      <w:r w:rsidR="00BF588F">
        <w:rPr>
          <w:rStyle w:val="ui-provider"/>
        </w:rPr>
        <w:t>ć</w:t>
      </w:r>
      <w:r w:rsidR="006772A4">
        <w:rPr>
          <w:rStyle w:val="ui-provider"/>
        </w:rPr>
        <w:t xml:space="preserve"> faktoringow</w:t>
      </w:r>
      <w:r w:rsidR="00BF588F">
        <w:rPr>
          <w:rStyle w:val="ui-provider"/>
        </w:rPr>
        <w:t>ą</w:t>
      </w:r>
      <w:r w:rsidR="006772A4">
        <w:rPr>
          <w:rStyle w:val="ui-provider"/>
        </w:rPr>
        <w:t xml:space="preserve"> przedsiębiorstw finansowych </w:t>
      </w:r>
      <w:r>
        <w:rPr>
          <w:rStyle w:val="ui-provider"/>
        </w:rPr>
        <w:t>wynika, że między 2022 a 2023 r</w:t>
      </w:r>
      <w:r w:rsidR="00FC238A">
        <w:rPr>
          <w:rStyle w:val="ui-provider"/>
        </w:rPr>
        <w:t>okiem</w:t>
      </w:r>
      <w:r>
        <w:rPr>
          <w:rStyle w:val="ui-provider"/>
        </w:rPr>
        <w:t xml:space="preserve"> całkowita wartość wierzytelności przekazanych do faktoringu wzrosła o 20 proc. i osiągnęła poziom </w:t>
      </w:r>
      <w:r w:rsidR="00916E76">
        <w:rPr>
          <w:rStyle w:val="ui-provider"/>
        </w:rPr>
        <w:t>47</w:t>
      </w:r>
      <w:r w:rsidR="00B37AB2">
        <w:rPr>
          <w:rStyle w:val="ui-provider"/>
        </w:rPr>
        <w:t>6,9</w:t>
      </w:r>
      <w:r w:rsidRPr="00D90A6E">
        <w:rPr>
          <w:rStyle w:val="ui-provider"/>
          <w:color w:val="FF0000"/>
        </w:rPr>
        <w:t xml:space="preserve"> </w:t>
      </w:r>
      <w:r w:rsidRPr="00916E76">
        <w:rPr>
          <w:rStyle w:val="ui-provider"/>
        </w:rPr>
        <w:t xml:space="preserve">mld zł. </w:t>
      </w:r>
    </w:p>
    <w:p w14:paraId="214C8233" w14:textId="77A0FADA" w:rsidR="00F04625" w:rsidRDefault="00B444A8" w:rsidP="00CB6E4C">
      <w:pPr>
        <w:spacing w:before="120" w:after="120" w:line="288" w:lineRule="auto"/>
        <w:jc w:val="both"/>
        <w:rPr>
          <w:rStyle w:val="ui-provider"/>
        </w:rPr>
      </w:pPr>
      <w:r>
        <w:rPr>
          <w:rStyle w:val="ui-provider"/>
        </w:rPr>
        <w:t>Z kolei analizy firmy faktoringowej NFG pokazują, że w</w:t>
      </w:r>
      <w:r w:rsidR="00D90A6E">
        <w:rPr>
          <w:rStyle w:val="ui-provider"/>
        </w:rPr>
        <w:t xml:space="preserve"> 2023 r. </w:t>
      </w:r>
      <w:r w:rsidR="00D90A6E">
        <w:t xml:space="preserve">średnia wartość faktury w </w:t>
      </w:r>
      <w:r w:rsidR="00D90A6E">
        <w:rPr>
          <w:rStyle w:val="ui-provider"/>
        </w:rPr>
        <w:t>faktoringu wzrosła o ponad 14 proc. (z 7</w:t>
      </w:r>
      <w:r w:rsidR="00FC238A">
        <w:rPr>
          <w:rStyle w:val="ui-provider"/>
        </w:rPr>
        <w:t xml:space="preserve"> </w:t>
      </w:r>
      <w:r w:rsidR="00D90A6E">
        <w:rPr>
          <w:rStyle w:val="ui-provider"/>
        </w:rPr>
        <w:t xml:space="preserve">824 zł </w:t>
      </w:r>
      <w:r w:rsidR="00FC238A">
        <w:rPr>
          <w:rStyle w:val="ui-provider"/>
        </w:rPr>
        <w:t>do</w:t>
      </w:r>
      <w:r w:rsidR="00D90A6E">
        <w:rPr>
          <w:rStyle w:val="ui-provider"/>
        </w:rPr>
        <w:t xml:space="preserve"> 8</w:t>
      </w:r>
      <w:r w:rsidR="00FC238A">
        <w:rPr>
          <w:rStyle w:val="ui-provider"/>
        </w:rPr>
        <w:t xml:space="preserve"> </w:t>
      </w:r>
      <w:r w:rsidR="00D90A6E">
        <w:rPr>
          <w:rStyle w:val="ui-provider"/>
        </w:rPr>
        <w:t xml:space="preserve">942 zł rok </w:t>
      </w:r>
      <w:r w:rsidR="00FC238A">
        <w:rPr>
          <w:rStyle w:val="ui-provider"/>
        </w:rPr>
        <w:t>do roku</w:t>
      </w:r>
      <w:r w:rsidR="00D90A6E">
        <w:rPr>
          <w:rStyle w:val="ui-provider"/>
        </w:rPr>
        <w:t>). Jednocześnie o ponad 36 proc. wzrosła wartość faktur finansowanych w formie rat dla biznesu,</w:t>
      </w:r>
      <w:r>
        <w:rPr>
          <w:rStyle w:val="ui-provider"/>
        </w:rPr>
        <w:t xml:space="preserve"> a</w:t>
      </w:r>
      <w:r w:rsidR="00D90A6E">
        <w:rPr>
          <w:rStyle w:val="ui-provider"/>
        </w:rPr>
        <w:t xml:space="preserve"> o ponad 20 proc. ich całkowita liczba</w:t>
      </w:r>
      <w:r>
        <w:rPr>
          <w:rStyle w:val="ui-provider"/>
        </w:rPr>
        <w:t>.</w:t>
      </w:r>
      <w:r w:rsidR="00F04625">
        <w:rPr>
          <w:rStyle w:val="ui-provider"/>
        </w:rPr>
        <w:t xml:space="preserve"> </w:t>
      </w:r>
    </w:p>
    <w:p w14:paraId="07CF30EF" w14:textId="0513D93C" w:rsidR="00F36E87" w:rsidRDefault="00F36E87" w:rsidP="00CB6E4C">
      <w:pPr>
        <w:spacing w:before="120" w:after="120" w:line="288" w:lineRule="auto"/>
        <w:jc w:val="both"/>
      </w:pPr>
      <w:r>
        <w:t xml:space="preserve">Z badania </w:t>
      </w:r>
      <w:r w:rsidRPr="003004B2">
        <w:t xml:space="preserve">Kaczmarski </w:t>
      </w:r>
      <w:proofErr w:type="spellStart"/>
      <w:r w:rsidRPr="003004B2">
        <w:t>Group</w:t>
      </w:r>
      <w:proofErr w:type="spellEnd"/>
      <w:r w:rsidRPr="003004B2">
        <w:t xml:space="preserve"> „2024 rok z perspektywy mikro, małych i średnich przedsiębiorstw”, </w:t>
      </w:r>
      <w:r>
        <w:t xml:space="preserve">wynika, że 86 proc. </w:t>
      </w:r>
      <w:r w:rsidR="00DA61EF">
        <w:t>MŚP</w:t>
      </w:r>
      <w:r>
        <w:t xml:space="preserve"> wystawia faktury z odroczonym terminem płatności, a w co drugiej</w:t>
      </w:r>
      <w:r w:rsidR="00871133">
        <w:t xml:space="preserve"> firmie</w:t>
      </w:r>
      <w:r>
        <w:t xml:space="preserve"> (55</w:t>
      </w:r>
      <w:r w:rsidR="00CB6E4C">
        <w:t> </w:t>
      </w:r>
      <w:r>
        <w:t xml:space="preserve">proc.) </w:t>
      </w:r>
      <w:r w:rsidRPr="003004B2">
        <w:t xml:space="preserve">zdarzają się problemy z terminowym regulowaniem </w:t>
      </w:r>
      <w:r>
        <w:t>zobowiązań</w:t>
      </w:r>
      <w:r w:rsidRPr="003004B2">
        <w:t xml:space="preserve"> przez kontrahentów.</w:t>
      </w:r>
      <w:r w:rsidR="002D2F14">
        <w:t xml:space="preserve"> Czekanie na płatność często powoduje wyrwę w firmowym budżecie. </w:t>
      </w:r>
    </w:p>
    <w:p w14:paraId="5D04793F" w14:textId="79048745" w:rsidR="003753EA" w:rsidRPr="007649B1" w:rsidRDefault="0020125F" w:rsidP="00CB6E4C">
      <w:pPr>
        <w:spacing w:before="120" w:after="120" w:line="288" w:lineRule="auto"/>
        <w:jc w:val="both"/>
        <w:rPr>
          <w:b/>
          <w:bCs/>
        </w:rPr>
      </w:pPr>
      <w:r>
        <w:rPr>
          <w:b/>
          <w:bCs/>
        </w:rPr>
        <w:t>Gotówka dla firm dostępna online</w:t>
      </w:r>
    </w:p>
    <w:p w14:paraId="68F666C7" w14:textId="7708A847" w:rsidR="00CB7CA5" w:rsidRDefault="002D2F14" w:rsidP="00CB6E4C">
      <w:pPr>
        <w:spacing w:before="120" w:after="120" w:line="288" w:lineRule="auto"/>
        <w:jc w:val="both"/>
      </w:pPr>
      <w:r>
        <w:t>Od teraz o</w:t>
      </w:r>
      <w:r w:rsidR="00C26369">
        <w:t xml:space="preserve">soba prowadząca jednoosobową działalność gospodarczą, która </w:t>
      </w:r>
      <w:r w:rsidR="00CB7CA5">
        <w:t>zdecyduje się na współpracę</w:t>
      </w:r>
      <w:r w:rsidR="00C26369">
        <w:t xml:space="preserve"> z N</w:t>
      </w:r>
      <w:r w:rsidR="006033C8">
        <w:t xml:space="preserve">arodowym </w:t>
      </w:r>
      <w:r w:rsidR="00C26369">
        <w:t>F</w:t>
      </w:r>
      <w:r w:rsidR="006033C8">
        <w:t xml:space="preserve">unduszem </w:t>
      </w:r>
      <w:r w:rsidR="00C26369">
        <w:t>G</w:t>
      </w:r>
      <w:r w:rsidR="006033C8">
        <w:t>warancyjnym (NFG)</w:t>
      </w:r>
      <w:r w:rsidR="00C26369">
        <w:t xml:space="preserve">, może w ramach </w:t>
      </w:r>
      <w:r w:rsidR="003A503B">
        <w:t xml:space="preserve">przyznanego limitu </w:t>
      </w:r>
      <w:r w:rsidR="00EE44FE">
        <w:t xml:space="preserve">uzyskać </w:t>
      </w:r>
      <w:r w:rsidR="00F04625">
        <w:t xml:space="preserve">do 10 tys. zł </w:t>
      </w:r>
      <w:r w:rsidR="00C26369">
        <w:t xml:space="preserve">finansowania </w:t>
      </w:r>
      <w:r w:rsidR="00F04625">
        <w:t xml:space="preserve">na dowolny cel, bez żadnych dodatkowych warunków, w prostym procesie online. </w:t>
      </w:r>
      <w:r w:rsidR="00440729">
        <w:t>N</w:t>
      </w:r>
      <w:r w:rsidR="00F04625">
        <w:t xml:space="preserve">ie musi </w:t>
      </w:r>
      <w:r w:rsidR="00440729">
        <w:t xml:space="preserve">przy tym </w:t>
      </w:r>
      <w:r w:rsidR="00F04625">
        <w:t xml:space="preserve">przedkładać faktury sprzedaży (jak w klasycznym faktoringu) ani innej formy zabezpieczenia spłaty zaciągniętego zobowiązania. </w:t>
      </w:r>
    </w:p>
    <w:p w14:paraId="3E1A824A" w14:textId="36D4E869" w:rsidR="00CB7CA5" w:rsidRDefault="00CB7CA5" w:rsidP="00CB6E4C">
      <w:pPr>
        <w:spacing w:before="120" w:after="120" w:line="288" w:lineRule="auto"/>
        <w:jc w:val="both"/>
      </w:pPr>
      <w:r>
        <w:t xml:space="preserve">– </w:t>
      </w:r>
      <w:r>
        <w:rPr>
          <w:i/>
          <w:iCs/>
        </w:rPr>
        <w:t>Gotówka na wydatki firmowe j</w:t>
      </w:r>
      <w:r w:rsidRPr="00F04625">
        <w:rPr>
          <w:i/>
          <w:iCs/>
        </w:rPr>
        <w:t>est uzupełnienie</w:t>
      </w:r>
      <w:r>
        <w:rPr>
          <w:i/>
          <w:iCs/>
        </w:rPr>
        <w:t>m</w:t>
      </w:r>
      <w:r w:rsidRPr="00F04625">
        <w:rPr>
          <w:i/>
          <w:iCs/>
        </w:rPr>
        <w:t xml:space="preserve"> oferty</w:t>
      </w:r>
      <w:r>
        <w:rPr>
          <w:i/>
          <w:iCs/>
        </w:rPr>
        <w:t xml:space="preserve"> rynkowej</w:t>
      </w:r>
      <w:r w:rsidRPr="00F04625">
        <w:rPr>
          <w:i/>
          <w:iCs/>
        </w:rPr>
        <w:t xml:space="preserve"> o rozwiązanie finansowe dużo prostsze i łatwiej dostępne</w:t>
      </w:r>
      <w:r>
        <w:rPr>
          <w:i/>
          <w:iCs/>
        </w:rPr>
        <w:t>,</w:t>
      </w:r>
      <w:r w:rsidR="003D68C2">
        <w:rPr>
          <w:i/>
          <w:iCs/>
        </w:rPr>
        <w:t xml:space="preserve"> praktycznie niewymagające żadnych formalności</w:t>
      </w:r>
      <w:r w:rsidR="007021D1">
        <w:rPr>
          <w:i/>
          <w:iCs/>
        </w:rPr>
        <w:t>. T</w:t>
      </w:r>
      <w:r w:rsidR="003D68C2">
        <w:rPr>
          <w:i/>
          <w:iCs/>
        </w:rPr>
        <w:t xml:space="preserve">ym różni się od </w:t>
      </w:r>
      <w:r w:rsidR="003D68C2">
        <w:rPr>
          <w:i/>
          <w:iCs/>
        </w:rPr>
        <w:lastRenderedPageBreak/>
        <w:t xml:space="preserve">typowych </w:t>
      </w:r>
      <w:r w:rsidRPr="00F04625">
        <w:rPr>
          <w:i/>
          <w:iCs/>
        </w:rPr>
        <w:t>pożycz</w:t>
      </w:r>
      <w:r w:rsidR="003D68C2">
        <w:rPr>
          <w:i/>
          <w:iCs/>
        </w:rPr>
        <w:t>ek</w:t>
      </w:r>
      <w:r w:rsidRPr="00F04625">
        <w:rPr>
          <w:i/>
          <w:iCs/>
        </w:rPr>
        <w:t xml:space="preserve"> czy kredyt</w:t>
      </w:r>
      <w:r w:rsidR="003D68C2">
        <w:rPr>
          <w:i/>
          <w:iCs/>
        </w:rPr>
        <w:t>ów</w:t>
      </w:r>
      <w:r w:rsidRPr="00F04625">
        <w:rPr>
          <w:i/>
          <w:iCs/>
        </w:rPr>
        <w:t xml:space="preserve"> bankow</w:t>
      </w:r>
      <w:r w:rsidR="003D68C2">
        <w:rPr>
          <w:i/>
          <w:iCs/>
        </w:rPr>
        <w:t>ych</w:t>
      </w:r>
      <w:r>
        <w:rPr>
          <w:i/>
          <w:iCs/>
        </w:rPr>
        <w:t xml:space="preserve">. </w:t>
      </w:r>
      <w:r w:rsidRPr="00F04625">
        <w:rPr>
          <w:i/>
          <w:iCs/>
        </w:rPr>
        <w:t>Chcemy w ten sposób zachęcić klientów do korzystania z</w:t>
      </w:r>
      <w:r w:rsidR="00CB6E4C">
        <w:rPr>
          <w:i/>
          <w:iCs/>
        </w:rPr>
        <w:t> </w:t>
      </w:r>
      <w:r w:rsidRPr="00F04625">
        <w:rPr>
          <w:i/>
          <w:iCs/>
        </w:rPr>
        <w:t xml:space="preserve">tego typu innowacyjnych </w:t>
      </w:r>
      <w:r>
        <w:rPr>
          <w:i/>
          <w:iCs/>
        </w:rPr>
        <w:t>produktów</w:t>
      </w:r>
      <w:r w:rsidRPr="00F04625">
        <w:rPr>
          <w:i/>
          <w:iCs/>
        </w:rPr>
        <w:t xml:space="preserve"> finansowych</w:t>
      </w:r>
      <w:r w:rsidRPr="00BF588F">
        <w:rPr>
          <w:rStyle w:val="ui-provider"/>
        </w:rPr>
        <w:t xml:space="preserve"> </w:t>
      </w:r>
      <w:r>
        <w:rPr>
          <w:rStyle w:val="ui-provider"/>
        </w:rPr>
        <w:t>– mówi Emanuel Nowak, dyrektor departamentu produktów i sprzedaży NFG.</w:t>
      </w:r>
    </w:p>
    <w:p w14:paraId="614689A4" w14:textId="42238D33" w:rsidR="00157ACA" w:rsidRPr="00537B25" w:rsidRDefault="00132C28" w:rsidP="00CB6E4C">
      <w:pPr>
        <w:spacing w:before="120" w:after="120" w:line="288" w:lineRule="auto"/>
        <w:jc w:val="both"/>
        <w:rPr>
          <w:rStyle w:val="ui-provider"/>
        </w:rPr>
      </w:pPr>
      <w:r w:rsidRPr="00537B25">
        <w:rPr>
          <w:rStyle w:val="ui-provider"/>
        </w:rPr>
        <w:t xml:space="preserve">Uzyskane finansowanie przedsiębiorca może spłacić na dwa sposoby: gotówką lub przekazując </w:t>
      </w:r>
      <w:r w:rsidR="00537B25" w:rsidRPr="00537B25">
        <w:rPr>
          <w:rStyle w:val="ui-provider"/>
        </w:rPr>
        <w:t xml:space="preserve">NFG </w:t>
      </w:r>
      <w:r w:rsidRPr="00537B25">
        <w:rPr>
          <w:rStyle w:val="ui-provider"/>
        </w:rPr>
        <w:t>fakturę sprzedaży do faktoringu</w:t>
      </w:r>
      <w:r w:rsidR="00023208">
        <w:rPr>
          <w:rStyle w:val="ui-provider"/>
        </w:rPr>
        <w:t>.</w:t>
      </w:r>
      <w:r w:rsidRPr="00157ACA">
        <w:rPr>
          <w:rStyle w:val="ui-provider"/>
        </w:rPr>
        <w:t xml:space="preserve"> </w:t>
      </w:r>
      <w:r w:rsidR="00537B25" w:rsidRPr="00537B25">
        <w:rPr>
          <w:rStyle w:val="ui-provider"/>
        </w:rPr>
        <w:t>F</w:t>
      </w:r>
      <w:r w:rsidR="00537B25">
        <w:rPr>
          <w:rStyle w:val="ui-provider"/>
        </w:rPr>
        <w:t xml:space="preserve">irmy, które do końca </w:t>
      </w:r>
      <w:r w:rsidR="006C12A7">
        <w:rPr>
          <w:rStyle w:val="ui-provider"/>
        </w:rPr>
        <w:t>maja</w:t>
      </w:r>
      <w:r w:rsidR="00537B25">
        <w:rPr>
          <w:rStyle w:val="ui-provider"/>
        </w:rPr>
        <w:t xml:space="preserve"> zawrą z NFG umowę o </w:t>
      </w:r>
      <w:proofErr w:type="spellStart"/>
      <w:r w:rsidR="00537B25">
        <w:rPr>
          <w:rStyle w:val="ui-provider"/>
        </w:rPr>
        <w:t>eFaktoring</w:t>
      </w:r>
      <w:proofErr w:type="spellEnd"/>
      <w:r w:rsidR="00537B25">
        <w:rPr>
          <w:rStyle w:val="ui-provider"/>
        </w:rPr>
        <w:t xml:space="preserve">, </w:t>
      </w:r>
      <w:r w:rsidR="00537B25" w:rsidRPr="00157ACA">
        <w:rPr>
          <w:rStyle w:val="ui-provider"/>
        </w:rPr>
        <w:t xml:space="preserve">przez najbliższe 3 miesiące będą mogły korzystać z </w:t>
      </w:r>
      <w:r w:rsidR="00305ACF" w:rsidRPr="00157ACA">
        <w:rPr>
          <w:rStyle w:val="ui-provider"/>
        </w:rPr>
        <w:t xml:space="preserve">preferencyjnego </w:t>
      </w:r>
      <w:r w:rsidR="00537B25" w:rsidRPr="00157ACA">
        <w:rPr>
          <w:rStyle w:val="ui-provider"/>
        </w:rPr>
        <w:t xml:space="preserve">oprocentowania Gotówki na wydatki firmowe </w:t>
      </w:r>
      <w:r w:rsidR="00305ACF" w:rsidRPr="00157ACA">
        <w:rPr>
          <w:rStyle w:val="ui-provider"/>
        </w:rPr>
        <w:t>w wysokości</w:t>
      </w:r>
      <w:r w:rsidR="00537B25" w:rsidRPr="00157ACA">
        <w:rPr>
          <w:rStyle w:val="ui-provider"/>
        </w:rPr>
        <w:t xml:space="preserve"> 1,99</w:t>
      </w:r>
      <w:r w:rsidR="00305ACF" w:rsidRPr="00157ACA">
        <w:rPr>
          <w:rStyle w:val="ui-provider"/>
        </w:rPr>
        <w:t xml:space="preserve"> proc</w:t>
      </w:r>
      <w:r w:rsidR="00023208" w:rsidRPr="00157ACA">
        <w:rPr>
          <w:rStyle w:val="ui-provider"/>
        </w:rPr>
        <w:t xml:space="preserve">. </w:t>
      </w:r>
      <w:r w:rsidR="002B7F45">
        <w:rPr>
          <w:rStyle w:val="ui-provider"/>
        </w:rPr>
        <w:t>A j</w:t>
      </w:r>
      <w:r w:rsidR="00023208" w:rsidRPr="00157ACA">
        <w:rPr>
          <w:rStyle w:val="ui-provider"/>
        </w:rPr>
        <w:t>eśli spłacą to zobowiązani</w:t>
      </w:r>
      <w:r w:rsidR="00824275">
        <w:rPr>
          <w:rStyle w:val="ui-provider"/>
        </w:rPr>
        <w:t>e</w:t>
      </w:r>
      <w:r w:rsidR="00023208" w:rsidRPr="00157ACA">
        <w:rPr>
          <w:rStyle w:val="ui-provider"/>
        </w:rPr>
        <w:t xml:space="preserve"> poprzez przekazanie faktury do </w:t>
      </w:r>
      <w:proofErr w:type="spellStart"/>
      <w:r w:rsidR="00023208" w:rsidRPr="00157ACA">
        <w:rPr>
          <w:rStyle w:val="ui-provider"/>
        </w:rPr>
        <w:t>eFaktoringu</w:t>
      </w:r>
      <w:proofErr w:type="spellEnd"/>
      <w:r w:rsidR="00023208" w:rsidRPr="00157ACA">
        <w:rPr>
          <w:rStyle w:val="ui-provider"/>
        </w:rPr>
        <w:t xml:space="preserve">, wówczas Gotówka na wydatki firmowe będzie całkowicie bezpłatna. </w:t>
      </w:r>
    </w:p>
    <w:p w14:paraId="18AFEA2B" w14:textId="77777777" w:rsidR="00143640" w:rsidRDefault="00143640" w:rsidP="00CB6E4C">
      <w:pPr>
        <w:spacing w:before="120" w:after="120" w:line="288" w:lineRule="auto"/>
        <w:jc w:val="both"/>
        <w:rPr>
          <w:rStyle w:val="ui-provider"/>
          <w:b/>
          <w:bCs/>
        </w:rPr>
      </w:pPr>
    </w:p>
    <w:p w14:paraId="52B50450" w14:textId="05FFAB6A" w:rsidR="00537B25" w:rsidRPr="006C54BC" w:rsidRDefault="00157ACA" w:rsidP="00CB6E4C">
      <w:pPr>
        <w:spacing w:before="120" w:after="120" w:line="288" w:lineRule="auto"/>
        <w:jc w:val="both"/>
        <w:rPr>
          <w:rStyle w:val="ui-provider"/>
        </w:rPr>
      </w:pPr>
      <w:r w:rsidRPr="006C54BC">
        <w:rPr>
          <w:rStyle w:val="ui-provider"/>
          <w:b/>
          <w:bCs/>
        </w:rPr>
        <w:t>NFG</w:t>
      </w:r>
      <w:r w:rsidRPr="006C54BC">
        <w:rPr>
          <w:rStyle w:val="ui-provider"/>
        </w:rPr>
        <w:t xml:space="preserve"> </w:t>
      </w:r>
      <w:r w:rsidR="00A114CA">
        <w:rPr>
          <w:rStyle w:val="ui-provider"/>
        </w:rPr>
        <w:t xml:space="preserve">jako </w:t>
      </w:r>
      <w:r w:rsidRPr="006C54BC">
        <w:rPr>
          <w:rStyle w:val="ui-provider"/>
        </w:rPr>
        <w:t xml:space="preserve">pierwsza spółka </w:t>
      </w:r>
      <w:r w:rsidR="00A114CA">
        <w:rPr>
          <w:rStyle w:val="ui-provider"/>
        </w:rPr>
        <w:t>w Polsce</w:t>
      </w:r>
      <w:r w:rsidRPr="006C54BC">
        <w:rPr>
          <w:rStyle w:val="ui-provider"/>
        </w:rPr>
        <w:t xml:space="preserve"> zaoferowała </w:t>
      </w:r>
      <w:proofErr w:type="spellStart"/>
      <w:r w:rsidRPr="006C54BC">
        <w:rPr>
          <w:rStyle w:val="ui-provider"/>
        </w:rPr>
        <w:t>mikrofirmom</w:t>
      </w:r>
      <w:proofErr w:type="spellEnd"/>
      <w:r w:rsidRPr="006C54BC">
        <w:rPr>
          <w:rStyle w:val="ui-provider"/>
        </w:rPr>
        <w:t xml:space="preserve"> faktoring dostępny w pełni online. W</w:t>
      </w:r>
      <w:r w:rsidR="00CB6E4C">
        <w:rPr>
          <w:rStyle w:val="ui-provider"/>
        </w:rPr>
        <w:t> </w:t>
      </w:r>
      <w:r w:rsidRPr="006C54BC">
        <w:rPr>
          <w:rStyle w:val="ui-provider"/>
        </w:rPr>
        <w:t xml:space="preserve">2022 r. wprowadziła na rynek raty dla biznesu, które oferuje pod marką </w:t>
      </w:r>
      <w:proofErr w:type="spellStart"/>
      <w:r w:rsidRPr="006C54BC">
        <w:rPr>
          <w:rStyle w:val="ui-provider"/>
        </w:rPr>
        <w:t>Fakturatka</w:t>
      </w:r>
      <w:proofErr w:type="spellEnd"/>
      <w:r w:rsidRPr="006C54BC">
        <w:rPr>
          <w:rStyle w:val="ui-provider"/>
        </w:rPr>
        <w:t xml:space="preserve">. </w:t>
      </w:r>
      <w:r w:rsidR="002978F4" w:rsidRPr="006C54BC">
        <w:rPr>
          <w:rStyle w:val="ui-provider"/>
        </w:rPr>
        <w:t xml:space="preserve">W 2023 r. NFG sfinansowała w formie </w:t>
      </w:r>
      <w:proofErr w:type="spellStart"/>
      <w:r w:rsidRPr="006C54BC">
        <w:rPr>
          <w:rStyle w:val="ui-provider"/>
        </w:rPr>
        <w:t>eF</w:t>
      </w:r>
      <w:r w:rsidR="002978F4" w:rsidRPr="006C54BC">
        <w:rPr>
          <w:rStyle w:val="ui-provider"/>
        </w:rPr>
        <w:t>aktoringu</w:t>
      </w:r>
      <w:proofErr w:type="spellEnd"/>
      <w:r w:rsidR="002978F4" w:rsidRPr="006C54BC">
        <w:rPr>
          <w:rStyle w:val="ui-provider"/>
        </w:rPr>
        <w:t xml:space="preserve"> faktury o łącznej wartości ponad 300 mln zł. W tym samym roku spółka przekroczyła również 1 mld zł finansowania udzielonego od początku rozpoczęcia działalności operacyjnej. </w:t>
      </w:r>
    </w:p>
    <w:p w14:paraId="0E4EF519" w14:textId="77777777" w:rsidR="00157ACA" w:rsidRPr="006C54BC" w:rsidRDefault="00157ACA" w:rsidP="00CB6E4C">
      <w:pPr>
        <w:spacing w:before="120" w:after="120" w:line="288" w:lineRule="auto"/>
        <w:jc w:val="both"/>
        <w:rPr>
          <w:rStyle w:val="ui-provider"/>
        </w:rPr>
      </w:pPr>
      <w:r w:rsidRPr="006C54BC">
        <w:rPr>
          <w:rStyle w:val="ui-provider"/>
          <w:b/>
          <w:bCs/>
        </w:rPr>
        <w:t xml:space="preserve">Kaczmarski </w:t>
      </w:r>
      <w:proofErr w:type="spellStart"/>
      <w:r w:rsidRPr="006C54BC">
        <w:rPr>
          <w:rStyle w:val="ui-provider"/>
          <w:b/>
          <w:bCs/>
        </w:rPr>
        <w:t>Group</w:t>
      </w:r>
      <w:proofErr w:type="spellEnd"/>
      <w:r w:rsidRPr="006C54BC">
        <w:rPr>
          <w:rStyle w:val="ui-provider"/>
        </w:rPr>
        <w:t xml:space="preserve"> to grupa firm należących do rodziny Kaczmarskich, których wspólną misją jest działalność na rzecz zwiększania bezpieczeństwa finansowego firm i konsumentów. Kaczmarski </w:t>
      </w:r>
      <w:proofErr w:type="spellStart"/>
      <w:r w:rsidRPr="006C54BC">
        <w:rPr>
          <w:rStyle w:val="ui-provider"/>
        </w:rPr>
        <w:t>Group</w:t>
      </w:r>
      <w:proofErr w:type="spellEnd"/>
      <w:r w:rsidRPr="006C54BC">
        <w:rPr>
          <w:rStyle w:val="ui-provider"/>
        </w:rPr>
        <w:t xml:space="preserve"> tworzy ekosystem rozwiązań dla biznesu – począwszy od weryfikacji potencjalnych kontrahentów, poprzez bieżący monitoring sytuacji finansowej klientów, analizę ryzyka biznesowego, dostarczanie finansowania w postaci faktoringu i rat dla biznesu, po odzyskiwanie należności na drodze polubownej oraz sądowej. </w:t>
      </w:r>
    </w:p>
    <w:p w14:paraId="3F81C617" w14:textId="77777777" w:rsidR="002978F4" w:rsidRDefault="002978F4" w:rsidP="00CB6E4C">
      <w:pPr>
        <w:spacing w:before="120" w:after="120" w:line="288" w:lineRule="auto"/>
        <w:jc w:val="both"/>
        <w:rPr>
          <w:rStyle w:val="ui-provider"/>
        </w:rPr>
      </w:pPr>
    </w:p>
    <w:p w14:paraId="05A8E74A" w14:textId="0D591324" w:rsidR="000F2224" w:rsidRDefault="000F2224" w:rsidP="00CB6E4C">
      <w:pPr>
        <w:spacing w:before="120" w:after="120" w:line="288" w:lineRule="auto"/>
        <w:jc w:val="both"/>
        <w:rPr>
          <w:rStyle w:val="ui-provider"/>
        </w:rPr>
      </w:pPr>
      <w:r>
        <w:rPr>
          <w:rStyle w:val="ui-provider"/>
        </w:rPr>
        <w:t>Kontakt dla mediów:</w:t>
      </w:r>
    </w:p>
    <w:p w14:paraId="0D63A36E" w14:textId="7A56C7A4" w:rsidR="000F2224" w:rsidRDefault="00E60255" w:rsidP="00CB6E4C">
      <w:pPr>
        <w:spacing w:before="120" w:after="120" w:line="288" w:lineRule="auto"/>
        <w:jc w:val="both"/>
        <w:rPr>
          <w:rStyle w:val="ui-provider"/>
        </w:rPr>
      </w:pPr>
      <w:r>
        <w:rPr>
          <w:rStyle w:val="ui-provider"/>
        </w:rPr>
        <w:t xml:space="preserve">NFG: Katarzyna Maciaszczyk-Sobolewska, </w:t>
      </w:r>
      <w:hyperlink r:id="rId5" w:history="1">
        <w:r w:rsidRPr="00E60255">
          <w:rPr>
            <w:rStyle w:val="Hipercze"/>
          </w:rPr>
          <w:t>k.maciaszczyk@nfg.pl</w:t>
        </w:r>
      </w:hyperlink>
      <w:r>
        <w:rPr>
          <w:rStyle w:val="ui-provider"/>
        </w:rPr>
        <w:t xml:space="preserve">, </w:t>
      </w:r>
      <w:r w:rsidRPr="00E60255">
        <w:rPr>
          <w:rStyle w:val="ui-provider"/>
        </w:rPr>
        <w:t xml:space="preserve">tel. </w:t>
      </w:r>
      <w:hyperlink r:id="rId6" w:history="1">
        <w:r w:rsidRPr="00E60255">
          <w:rPr>
            <w:rStyle w:val="ui-provider"/>
          </w:rPr>
          <w:t xml:space="preserve">695 100 151 </w:t>
        </w:r>
      </w:hyperlink>
    </w:p>
    <w:p w14:paraId="1875F4CC" w14:textId="7332C629" w:rsidR="00E60255" w:rsidRPr="002978F4" w:rsidRDefault="00E60255" w:rsidP="00CB6E4C">
      <w:pPr>
        <w:spacing w:before="120" w:after="120" w:line="288" w:lineRule="auto"/>
        <w:jc w:val="both"/>
        <w:rPr>
          <w:rStyle w:val="ui-provider"/>
        </w:rPr>
      </w:pPr>
      <w:r>
        <w:rPr>
          <w:rStyle w:val="ui-provider"/>
        </w:rPr>
        <w:t xml:space="preserve">Kaczmarski </w:t>
      </w:r>
      <w:proofErr w:type="spellStart"/>
      <w:r>
        <w:rPr>
          <w:rStyle w:val="ui-provider"/>
        </w:rPr>
        <w:t>Group</w:t>
      </w:r>
      <w:proofErr w:type="spellEnd"/>
      <w:r>
        <w:rPr>
          <w:rStyle w:val="ui-provider"/>
        </w:rPr>
        <w:t xml:space="preserve">: Marcin Herman, </w:t>
      </w:r>
      <w:hyperlink r:id="rId7" w:history="1">
        <w:r w:rsidRPr="00BD549F">
          <w:rPr>
            <w:rStyle w:val="Hipercze"/>
          </w:rPr>
          <w:t>marcin.herman@kaczmarskigroup.pl</w:t>
        </w:r>
      </w:hyperlink>
      <w:r>
        <w:rPr>
          <w:rStyle w:val="ui-provider"/>
        </w:rPr>
        <w:t>, tel. 504 135 718</w:t>
      </w:r>
    </w:p>
    <w:p w14:paraId="04FA9BBB" w14:textId="060BD61F" w:rsidR="00C53E03" w:rsidRDefault="00C53E03" w:rsidP="00CB6E4C">
      <w:pPr>
        <w:spacing w:before="120" w:after="120" w:line="288" w:lineRule="auto"/>
        <w:jc w:val="both"/>
      </w:pPr>
      <w:r>
        <w:t xml:space="preserve"> </w:t>
      </w:r>
    </w:p>
    <w:sectPr w:rsidR="00C5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1101C"/>
    <w:multiLevelType w:val="hybridMultilevel"/>
    <w:tmpl w:val="8B40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3B46"/>
    <w:multiLevelType w:val="hybridMultilevel"/>
    <w:tmpl w:val="40AA3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758"/>
    <w:multiLevelType w:val="hybridMultilevel"/>
    <w:tmpl w:val="CAF0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36CE"/>
    <w:multiLevelType w:val="hybridMultilevel"/>
    <w:tmpl w:val="018A8D9E"/>
    <w:lvl w:ilvl="0" w:tplc="0CB6E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89925">
    <w:abstractNumId w:val="0"/>
  </w:num>
  <w:num w:numId="2" w16cid:durableId="618532173">
    <w:abstractNumId w:val="3"/>
  </w:num>
  <w:num w:numId="3" w16cid:durableId="136535248">
    <w:abstractNumId w:val="2"/>
  </w:num>
  <w:num w:numId="4" w16cid:durableId="98377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9D"/>
    <w:rsid w:val="00011A5B"/>
    <w:rsid w:val="00023208"/>
    <w:rsid w:val="00023A15"/>
    <w:rsid w:val="00096A73"/>
    <w:rsid w:val="000C024C"/>
    <w:rsid w:val="000C2D0E"/>
    <w:rsid w:val="000D384B"/>
    <w:rsid w:val="000F0A23"/>
    <w:rsid w:val="000F2224"/>
    <w:rsid w:val="000F68B4"/>
    <w:rsid w:val="00132C28"/>
    <w:rsid w:val="001376FE"/>
    <w:rsid w:val="00143640"/>
    <w:rsid w:val="00157ACA"/>
    <w:rsid w:val="00190A70"/>
    <w:rsid w:val="001941E0"/>
    <w:rsid w:val="001B5F7B"/>
    <w:rsid w:val="001F76B6"/>
    <w:rsid w:val="0020125F"/>
    <w:rsid w:val="002978F4"/>
    <w:rsid w:val="002B5C49"/>
    <w:rsid w:val="002B7EED"/>
    <w:rsid w:val="002B7F45"/>
    <w:rsid w:val="002D2F14"/>
    <w:rsid w:val="003004B2"/>
    <w:rsid w:val="00305ACF"/>
    <w:rsid w:val="00313F61"/>
    <w:rsid w:val="00324FE9"/>
    <w:rsid w:val="00364593"/>
    <w:rsid w:val="00371513"/>
    <w:rsid w:val="003753EA"/>
    <w:rsid w:val="00393615"/>
    <w:rsid w:val="00394389"/>
    <w:rsid w:val="003A503B"/>
    <w:rsid w:val="003D68C2"/>
    <w:rsid w:val="003F0643"/>
    <w:rsid w:val="00426725"/>
    <w:rsid w:val="0043181C"/>
    <w:rsid w:val="00440729"/>
    <w:rsid w:val="0047365E"/>
    <w:rsid w:val="004A3C0A"/>
    <w:rsid w:val="005159CA"/>
    <w:rsid w:val="00531E5E"/>
    <w:rsid w:val="00537B25"/>
    <w:rsid w:val="00575687"/>
    <w:rsid w:val="005778C1"/>
    <w:rsid w:val="005B779F"/>
    <w:rsid w:val="005E5632"/>
    <w:rsid w:val="006033C8"/>
    <w:rsid w:val="0065575D"/>
    <w:rsid w:val="006772A4"/>
    <w:rsid w:val="006969F7"/>
    <w:rsid w:val="006A1624"/>
    <w:rsid w:val="006B7217"/>
    <w:rsid w:val="006C12A7"/>
    <w:rsid w:val="006C54BC"/>
    <w:rsid w:val="006E7464"/>
    <w:rsid w:val="006E76A0"/>
    <w:rsid w:val="007021D1"/>
    <w:rsid w:val="00714AAA"/>
    <w:rsid w:val="007649B1"/>
    <w:rsid w:val="0078439D"/>
    <w:rsid w:val="007A0875"/>
    <w:rsid w:val="007A4F74"/>
    <w:rsid w:val="007C742E"/>
    <w:rsid w:val="007E4E73"/>
    <w:rsid w:val="007F213C"/>
    <w:rsid w:val="0081036B"/>
    <w:rsid w:val="00824275"/>
    <w:rsid w:val="00845829"/>
    <w:rsid w:val="00857A25"/>
    <w:rsid w:val="00871133"/>
    <w:rsid w:val="008D2EB3"/>
    <w:rsid w:val="0090087B"/>
    <w:rsid w:val="00916E76"/>
    <w:rsid w:val="00926BC9"/>
    <w:rsid w:val="00942ECC"/>
    <w:rsid w:val="00972C4B"/>
    <w:rsid w:val="0097652A"/>
    <w:rsid w:val="00983DD3"/>
    <w:rsid w:val="00991BB4"/>
    <w:rsid w:val="009A507B"/>
    <w:rsid w:val="009B2C16"/>
    <w:rsid w:val="00A07635"/>
    <w:rsid w:val="00A114CA"/>
    <w:rsid w:val="00B30BC4"/>
    <w:rsid w:val="00B37AB2"/>
    <w:rsid w:val="00B40E76"/>
    <w:rsid w:val="00B42937"/>
    <w:rsid w:val="00B444A8"/>
    <w:rsid w:val="00B65109"/>
    <w:rsid w:val="00BE7D64"/>
    <w:rsid w:val="00BF588F"/>
    <w:rsid w:val="00C2047E"/>
    <w:rsid w:val="00C26369"/>
    <w:rsid w:val="00C378C8"/>
    <w:rsid w:val="00C53E03"/>
    <w:rsid w:val="00C906BF"/>
    <w:rsid w:val="00CB6E4C"/>
    <w:rsid w:val="00CB7CA5"/>
    <w:rsid w:val="00CD4589"/>
    <w:rsid w:val="00CF3820"/>
    <w:rsid w:val="00CF4685"/>
    <w:rsid w:val="00D23067"/>
    <w:rsid w:val="00D34C7A"/>
    <w:rsid w:val="00D52609"/>
    <w:rsid w:val="00D86FD0"/>
    <w:rsid w:val="00D90A6E"/>
    <w:rsid w:val="00DA61EF"/>
    <w:rsid w:val="00E44CCA"/>
    <w:rsid w:val="00E60255"/>
    <w:rsid w:val="00E60954"/>
    <w:rsid w:val="00E76BD4"/>
    <w:rsid w:val="00E846C7"/>
    <w:rsid w:val="00E954E6"/>
    <w:rsid w:val="00EC5EA9"/>
    <w:rsid w:val="00EE44FE"/>
    <w:rsid w:val="00EE6682"/>
    <w:rsid w:val="00EF12E6"/>
    <w:rsid w:val="00F04625"/>
    <w:rsid w:val="00F11C32"/>
    <w:rsid w:val="00F36E87"/>
    <w:rsid w:val="00F50478"/>
    <w:rsid w:val="00F512F3"/>
    <w:rsid w:val="00F72E5B"/>
    <w:rsid w:val="00FA549D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E0DE"/>
  <w15:chartTrackingRefBased/>
  <w15:docId w15:val="{B797E8FB-1046-474D-8E82-4680BD2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FE9"/>
    <w:pPr>
      <w:ind w:left="720"/>
      <w:contextualSpacing/>
    </w:pPr>
  </w:style>
  <w:style w:type="character" w:customStyle="1" w:styleId="ui-provider">
    <w:name w:val="ui-provider"/>
    <w:basedOn w:val="Domylnaczcionkaakapitu"/>
    <w:rsid w:val="0065575D"/>
  </w:style>
  <w:style w:type="character" w:styleId="Uwydatnienie">
    <w:name w:val="Emphasis"/>
    <w:basedOn w:val="Domylnaczcionkaakapitu"/>
    <w:uiPriority w:val="20"/>
    <w:qFormat/>
    <w:rsid w:val="003004B2"/>
    <w:rPr>
      <w:i/>
      <w:iCs/>
    </w:rPr>
  </w:style>
  <w:style w:type="paragraph" w:styleId="Poprawka">
    <w:name w:val="Revision"/>
    <w:hidden/>
    <w:uiPriority w:val="99"/>
    <w:semiHidden/>
    <w:rsid w:val="00D526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025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herman@kaczmarskigro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95100151" TargetMode="External"/><Relationship Id="rId5" Type="http://schemas.openxmlformats.org/officeDocument/2006/relationships/hyperlink" Target="mailto:k.maciaszczyk@nf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Herman</dc:creator>
  <cp:keywords/>
  <dc:description/>
  <cp:lastModifiedBy>Aleksandra Gronowska CCG</cp:lastModifiedBy>
  <cp:revision>5</cp:revision>
  <dcterms:created xsi:type="dcterms:W3CDTF">2024-04-10T11:57:00Z</dcterms:created>
  <dcterms:modified xsi:type="dcterms:W3CDTF">2024-04-29T11:34:00Z</dcterms:modified>
</cp:coreProperties>
</file>